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491E5E" w14:textId="77777777" w:rsidR="000A15FD" w:rsidRDefault="000A15FD"/>
    <w:p w14:paraId="111EF77C" w14:textId="77777777" w:rsidR="00075B03" w:rsidRPr="00075B03" w:rsidRDefault="00075B03">
      <w:pPr>
        <w:rPr>
          <w:b/>
          <w:sz w:val="24"/>
          <w:szCs w:val="24"/>
        </w:rPr>
      </w:pPr>
      <w:r w:rsidRPr="00C65652">
        <w:rPr>
          <w:b/>
          <w:sz w:val="24"/>
          <w:szCs w:val="24"/>
        </w:rPr>
        <w:t>OFFRE TECHNIQUE</w:t>
      </w:r>
    </w:p>
    <w:p w14:paraId="6C0902EC" w14:textId="77777777" w:rsidR="00075B03" w:rsidRPr="00C65652" w:rsidRDefault="00075B03" w:rsidP="0021103F">
      <w:pPr>
        <w:jc w:val="both"/>
      </w:pPr>
    </w:p>
    <w:p w14:paraId="30C1FE63" w14:textId="30685719" w:rsidR="005614C2" w:rsidRDefault="0021103F" w:rsidP="00631286">
      <w:pPr>
        <w:jc w:val="both"/>
      </w:pPr>
      <w:r w:rsidRPr="00C65652">
        <w:t xml:space="preserve">L’offre technique du </w:t>
      </w:r>
      <w:r w:rsidR="005614C2">
        <w:t>candidat</w:t>
      </w:r>
      <w:r w:rsidRPr="00C65652">
        <w:t xml:space="preserve">, </w:t>
      </w:r>
      <w:r w:rsidR="005614C2">
        <w:t xml:space="preserve">présentée </w:t>
      </w:r>
      <w:r w:rsidRPr="00C65652">
        <w:t>sous forme de mémoire méthodologique,</w:t>
      </w:r>
      <w:r w:rsidR="006B6AE4">
        <w:t xml:space="preserve"> devra présenter </w:t>
      </w:r>
      <w:r w:rsidR="002757F4" w:rsidRPr="002536C4">
        <w:rPr>
          <w:u w:val="single"/>
        </w:rPr>
        <w:t>pour information</w:t>
      </w:r>
      <w:r w:rsidR="002757F4">
        <w:t xml:space="preserve"> </w:t>
      </w:r>
      <w:r w:rsidR="006B6AE4">
        <w:t>les dispositions (</w:t>
      </w:r>
      <w:r w:rsidR="006B6AE4" w:rsidRPr="0021103F">
        <w:t>les moyens humains, organisationnels et techniques)</w:t>
      </w:r>
      <w:r w:rsidR="006B6AE4">
        <w:t xml:space="preserve"> que le candidat </w:t>
      </w:r>
      <w:r w:rsidR="005614C2">
        <w:t xml:space="preserve">envisage de mettre en </w:t>
      </w:r>
      <w:proofErr w:type="spellStart"/>
      <w:r w:rsidR="005614C2">
        <w:t>oeuvre</w:t>
      </w:r>
      <w:proofErr w:type="spellEnd"/>
      <w:r w:rsidR="006B6AE4">
        <w:t xml:space="preserve"> pour l'exécution du marché </w:t>
      </w:r>
      <w:r w:rsidR="006B6AE4" w:rsidRPr="0021103F">
        <w:t>et notamment la méthode de fabrication des cartes</w:t>
      </w:r>
      <w:r w:rsidR="005614C2">
        <w:t>,</w:t>
      </w:r>
      <w:r w:rsidR="006B6AE4">
        <w:t xml:space="preserve"> les caractéristiques techniques précises des cartes </w:t>
      </w:r>
      <w:r w:rsidR="00AF2A76">
        <w:t xml:space="preserve">et emballages </w:t>
      </w:r>
      <w:r w:rsidR="006B6AE4">
        <w:t xml:space="preserve">proposés conformément aux spécifications du </w:t>
      </w:r>
      <w:r w:rsidR="005614C2">
        <w:t>cahier des clauses particulières</w:t>
      </w:r>
      <w:r w:rsidR="00231B94">
        <w:t xml:space="preserve"> ainsi que les délais de livraison</w:t>
      </w:r>
      <w:r w:rsidR="005614C2">
        <w:t xml:space="preserve"> proposés, lesquels deviendront contractuels en cas d’attribution du marché.</w:t>
      </w:r>
    </w:p>
    <w:p w14:paraId="1D48F01D" w14:textId="77777777" w:rsidR="005614C2" w:rsidRDefault="005614C2" w:rsidP="00231B94">
      <w:pPr>
        <w:ind w:left="708"/>
        <w:jc w:val="both"/>
      </w:pPr>
    </w:p>
    <w:p w14:paraId="12303B57" w14:textId="77777777" w:rsidR="005614C2" w:rsidRDefault="005614C2" w:rsidP="00631286">
      <w:pPr>
        <w:jc w:val="both"/>
      </w:pPr>
      <w:r w:rsidRPr="005614C2">
        <w:t>Ces éléments sont demandés à des fins de bonne compréhension de l’offre et de vérification de sa conformité aux exigences du cahier des charges. Ils ne font pas l’objet d’une notation spécifique.</w:t>
      </w:r>
    </w:p>
    <w:p w14:paraId="5F6131ED" w14:textId="77777777" w:rsidR="005614C2" w:rsidRDefault="005614C2" w:rsidP="00231B94">
      <w:pPr>
        <w:ind w:left="708"/>
        <w:jc w:val="both"/>
      </w:pPr>
    </w:p>
    <w:p w14:paraId="2EC52937" w14:textId="77777777" w:rsidR="005614C2" w:rsidRDefault="005614C2" w:rsidP="00631286">
      <w:pPr>
        <w:jc w:val="both"/>
      </w:pPr>
      <w:r w:rsidRPr="005614C2">
        <w:t>Toutefois, en cas d’écart, d’insuffisance ou d’incohérence substantielle entre les éléments décrits dans le mémoire technique et les exigences techniques définies dans le cahier des clauses particulières (CCP), l’offre pourra être déclarée irrégulière, notamment si ces éléments révèlent une non-conformité d</w:t>
      </w:r>
      <w:r>
        <w:t xml:space="preserve">u produit </w:t>
      </w:r>
      <w:r w:rsidRPr="005614C2">
        <w:t>proposé aux spécifications minimales du marché.</w:t>
      </w:r>
    </w:p>
    <w:p w14:paraId="5CCAEDD5" w14:textId="273DA0B6" w:rsidR="0021103F" w:rsidRPr="0021103F" w:rsidRDefault="005614C2" w:rsidP="00231B94">
      <w:pPr>
        <w:ind w:left="708"/>
        <w:jc w:val="both"/>
      </w:pPr>
      <w:r>
        <w:t xml:space="preserve"> </w:t>
      </w:r>
    </w:p>
    <w:p w14:paraId="21875DA0" w14:textId="77777777" w:rsidR="006B6AE4" w:rsidRPr="00231B94" w:rsidRDefault="006B6AE4" w:rsidP="00631286">
      <w:pPr>
        <w:jc w:val="both"/>
        <w:rPr>
          <w:u w:val="single"/>
        </w:rPr>
      </w:pPr>
      <w:r w:rsidRPr="00231B94">
        <w:rPr>
          <w:u w:val="single"/>
        </w:rPr>
        <w:t xml:space="preserve">Tests des échantillons et conformité du mémoire technique : </w:t>
      </w:r>
    </w:p>
    <w:p w14:paraId="611F9339" w14:textId="54D1F57F" w:rsidR="00C65652" w:rsidRPr="00C65652" w:rsidRDefault="00C65652" w:rsidP="006B6AE4">
      <w:pPr>
        <w:ind w:left="708"/>
        <w:jc w:val="both"/>
        <w:rPr>
          <w:u w:val="single"/>
        </w:rPr>
      </w:pPr>
      <w:r w:rsidRPr="0021103F">
        <w:t xml:space="preserve">Le candidat devra fournir </w:t>
      </w:r>
      <w:r w:rsidR="007274D0">
        <w:t>un lot</w:t>
      </w:r>
      <w:r w:rsidRPr="0021103F">
        <w:t xml:space="preserve"> de 50 exemplaires de cartes</w:t>
      </w:r>
      <w:r w:rsidR="009478EA">
        <w:t>, sans personnalisation électrique,</w:t>
      </w:r>
      <w:r w:rsidR="007274D0">
        <w:t xml:space="preserve"> conformes aux spécifications techniques du cahier des clauses particulières (CCP)</w:t>
      </w:r>
      <w:r>
        <w:t xml:space="preserve">. Les échantillons </w:t>
      </w:r>
      <w:r w:rsidR="00DA3292">
        <w:t>seront livrés sans impression de visuel.</w:t>
      </w:r>
    </w:p>
    <w:p w14:paraId="135FD238" w14:textId="663C9A10" w:rsidR="0021103F" w:rsidRDefault="0021103F" w:rsidP="006B6AE4">
      <w:pPr>
        <w:ind w:left="708"/>
        <w:jc w:val="both"/>
      </w:pPr>
      <w:r w:rsidRPr="0021103F">
        <w:t xml:space="preserve">Les échantillons devront parvenir </w:t>
      </w:r>
      <w:r w:rsidR="007274D0">
        <w:t>avant la date et l’heure limite</w:t>
      </w:r>
      <w:r w:rsidRPr="0021103F">
        <w:t xml:space="preserve"> de remise des offres </w:t>
      </w:r>
      <w:r w:rsidR="00957BF0">
        <w:t>par courrier adressé au Service des Marchés de la BnF</w:t>
      </w:r>
      <w:r w:rsidR="007274D0">
        <w:t xml:space="preserve"> suivant les modalités indiquées au règlement de la consultation.</w:t>
      </w:r>
      <w:r w:rsidR="007274D0" w:rsidRPr="007274D0">
        <w:t xml:space="preserve"> À défaut de réception dans ce délai, l’offre pourra être déclarée irrégulière.</w:t>
      </w:r>
      <w:r w:rsidR="00AF2A76">
        <w:t xml:space="preserve"> L’emballage des échantillons devra respecter les termes de l’article 16 du CCP lié à la protection de l’environnement. </w:t>
      </w:r>
    </w:p>
    <w:p w14:paraId="5E106005" w14:textId="77777777" w:rsidR="007274D0" w:rsidRDefault="007274D0" w:rsidP="006B6AE4">
      <w:pPr>
        <w:ind w:left="708"/>
        <w:jc w:val="both"/>
      </w:pPr>
    </w:p>
    <w:p w14:paraId="35408A11" w14:textId="77777777" w:rsidR="007274D0" w:rsidRDefault="007274D0" w:rsidP="006B6AE4">
      <w:pPr>
        <w:ind w:left="708"/>
        <w:jc w:val="both"/>
      </w:pPr>
      <w:r w:rsidRPr="007274D0">
        <w:t>Les échantillons seront examinés concomitamment à l’analyse des offres. La BnF procédera à des essais techniques consistant notamment en une simulation de création d’une carte sans personnalisation électrique et en des tests d’utilisation avec les équipements de lecture de la BnF, afin d’apprécier la valeur technique des offres.</w:t>
      </w:r>
    </w:p>
    <w:p w14:paraId="07FD7762" w14:textId="77777777" w:rsidR="007274D0" w:rsidRPr="0021103F" w:rsidRDefault="007274D0" w:rsidP="006B6AE4">
      <w:pPr>
        <w:ind w:left="708"/>
        <w:jc w:val="both"/>
      </w:pPr>
    </w:p>
    <w:p w14:paraId="373B784A" w14:textId="77777777" w:rsidR="002536C4" w:rsidRDefault="002536C4" w:rsidP="00631286">
      <w:pPr>
        <w:jc w:val="both"/>
      </w:pPr>
      <w:r>
        <w:t>Seront vérifiés :</w:t>
      </w:r>
    </w:p>
    <w:p w14:paraId="7F8276A9" w14:textId="0204D6C5" w:rsidR="002536C4" w:rsidRPr="00B851F6" w:rsidRDefault="002536C4" w:rsidP="002536C4">
      <w:pPr>
        <w:numPr>
          <w:ilvl w:val="1"/>
          <w:numId w:val="10"/>
        </w:numPr>
        <w:autoSpaceDE w:val="0"/>
        <w:autoSpaceDN w:val="0"/>
        <w:adjustRightInd w:val="0"/>
      </w:pPr>
      <w:proofErr w:type="gramStart"/>
      <w:r w:rsidRPr="00B851F6">
        <w:t>la</w:t>
      </w:r>
      <w:proofErr w:type="gramEnd"/>
      <w:r w:rsidRPr="00B851F6">
        <w:t xml:space="preserve"> qualité </w:t>
      </w:r>
      <w:r w:rsidR="007274D0" w:rsidRPr="00B851F6">
        <w:t xml:space="preserve">physique et la robustesse </w:t>
      </w:r>
      <w:r w:rsidRPr="00B851F6">
        <w:t>du support</w:t>
      </w:r>
      <w:r w:rsidR="009478EA" w:rsidRPr="00B851F6">
        <w:t xml:space="preserve"> (conformité du format et de l’épaisseur, rigidité et tenue</w:t>
      </w:r>
      <w:r w:rsidR="007274D0" w:rsidRPr="00B851F6">
        <w:t> </w:t>
      </w:r>
      <w:r w:rsidR="009478EA" w:rsidRPr="00B851F6">
        <w:t>mécanique du support, résistance à une manipulation normale)</w:t>
      </w:r>
      <w:r w:rsidR="007274D0" w:rsidRPr="00B851F6">
        <w:t>;</w:t>
      </w:r>
    </w:p>
    <w:p w14:paraId="4B0F320C" w14:textId="0C43440F" w:rsidR="002536C4" w:rsidRPr="00B851F6" w:rsidRDefault="002536C4" w:rsidP="002536C4">
      <w:pPr>
        <w:numPr>
          <w:ilvl w:val="1"/>
          <w:numId w:val="10"/>
        </w:numPr>
        <w:autoSpaceDE w:val="0"/>
        <w:autoSpaceDN w:val="0"/>
        <w:adjustRightInd w:val="0"/>
      </w:pPr>
      <w:proofErr w:type="gramStart"/>
      <w:r w:rsidRPr="00B851F6">
        <w:t>la</w:t>
      </w:r>
      <w:proofErr w:type="gramEnd"/>
      <w:r w:rsidRPr="00B851F6">
        <w:t xml:space="preserve"> qualité de l'impression</w:t>
      </w:r>
      <w:r w:rsidR="007274D0" w:rsidRPr="00B851F6">
        <w:t xml:space="preserve"> du support vierge avec les équipements d’impression utilisés par la BnF </w:t>
      </w:r>
      <w:r w:rsidR="009478EA" w:rsidRPr="00B851F6">
        <w:t>(aspect de surface et qualité de matériau après impression sur du matériel BnF)</w:t>
      </w:r>
      <w:r w:rsidR="007274D0" w:rsidRPr="00B851F6">
        <w:t>;</w:t>
      </w:r>
    </w:p>
    <w:p w14:paraId="20D1517B" w14:textId="77777777" w:rsidR="00AF2A76" w:rsidRDefault="002536C4" w:rsidP="002536C4">
      <w:pPr>
        <w:numPr>
          <w:ilvl w:val="1"/>
          <w:numId w:val="10"/>
        </w:numPr>
        <w:autoSpaceDE w:val="0"/>
        <w:autoSpaceDN w:val="0"/>
        <w:adjustRightInd w:val="0"/>
      </w:pPr>
      <w:proofErr w:type="gramStart"/>
      <w:r w:rsidRPr="00B851F6">
        <w:t>le</w:t>
      </w:r>
      <w:proofErr w:type="gramEnd"/>
      <w:r w:rsidRPr="00B851F6">
        <w:t xml:space="preserve"> </w:t>
      </w:r>
      <w:r w:rsidR="007274D0" w:rsidRPr="00B851F6">
        <w:t xml:space="preserve">bon </w:t>
      </w:r>
      <w:r w:rsidRPr="00B851F6">
        <w:t>fonctionnement</w:t>
      </w:r>
      <w:r w:rsidR="007274D0" w:rsidRPr="00B851F6">
        <w:t xml:space="preserve"> et la compatibilité</w:t>
      </w:r>
      <w:r w:rsidRPr="00B851F6">
        <w:t xml:space="preserve"> de la puce intégrée</w:t>
      </w:r>
      <w:r w:rsidR="007274D0" w:rsidRPr="00B851F6">
        <w:t xml:space="preserve"> avec les équipements de lecture utilisés par la BnF</w:t>
      </w:r>
      <w:r w:rsidR="009478EA" w:rsidRPr="00B851F6">
        <w:t xml:space="preserve"> (lecture des cartes sur les lecteurs utilisés à la BnF, reconnaissance de la puce, absence d’erreurs ou de dysfonctionnements répétés)</w:t>
      </w:r>
    </w:p>
    <w:p w14:paraId="20FFCB8E" w14:textId="18BB883C" w:rsidR="002536C4" w:rsidRPr="00B851F6" w:rsidRDefault="00AF2A76" w:rsidP="002536C4">
      <w:pPr>
        <w:numPr>
          <w:ilvl w:val="1"/>
          <w:numId w:val="10"/>
        </w:numPr>
        <w:autoSpaceDE w:val="0"/>
        <w:autoSpaceDN w:val="0"/>
        <w:adjustRightInd w:val="0"/>
      </w:pPr>
      <w:proofErr w:type="gramStart"/>
      <w:r>
        <w:t>la</w:t>
      </w:r>
      <w:proofErr w:type="gramEnd"/>
      <w:r>
        <w:t xml:space="preserve"> qualité de l’emball</w:t>
      </w:r>
      <w:bookmarkStart w:id="0" w:name="_GoBack"/>
      <w:bookmarkEnd w:id="0"/>
      <w:r>
        <w:t>age des échantillons dans le respect de l’article 16 du CCP</w:t>
      </w:r>
      <w:r w:rsidR="007274D0" w:rsidRPr="00B851F6">
        <w:t>.</w:t>
      </w:r>
    </w:p>
    <w:p w14:paraId="1030CE38" w14:textId="3F3DF2BA" w:rsidR="007274D0" w:rsidRDefault="007274D0" w:rsidP="007274D0">
      <w:pPr>
        <w:autoSpaceDE w:val="0"/>
        <w:autoSpaceDN w:val="0"/>
        <w:adjustRightInd w:val="0"/>
        <w:rPr>
          <w:rFonts w:ascii="Helv" w:hAnsi="Helv" w:cs="Helv"/>
        </w:rPr>
      </w:pPr>
    </w:p>
    <w:p w14:paraId="3B6406B2" w14:textId="77777777" w:rsidR="007274D0" w:rsidRPr="00631286" w:rsidRDefault="007274D0" w:rsidP="007274D0">
      <w:pPr>
        <w:autoSpaceDE w:val="0"/>
        <w:autoSpaceDN w:val="0"/>
        <w:adjustRightInd w:val="0"/>
      </w:pPr>
      <w:r w:rsidRPr="00631286">
        <w:t>La notation de la valeur technique sera fondée sur les résultats de ces essais. Par ailleurs, les informations figurant dans le mémoire technique permettront de vérifier la conformité de l’offre aux exigences du CCP. En cas de non-conformité des échantillons ou de contradiction substantielle entre les échantillons fournis, le mémoire technique et les spécifications minimales du CCP, l’offre sera susceptible d’être déclarée irrégulière.</w:t>
      </w:r>
    </w:p>
    <w:p w14:paraId="265887EE" w14:textId="77777777" w:rsidR="0021103F" w:rsidRDefault="0021103F" w:rsidP="0021103F">
      <w:pPr>
        <w:jc w:val="both"/>
      </w:pPr>
    </w:p>
    <w:p w14:paraId="2D636B1C" w14:textId="77777777" w:rsidR="0021103F" w:rsidRDefault="0021103F" w:rsidP="0021103F">
      <w:pPr>
        <w:jc w:val="both"/>
      </w:pPr>
    </w:p>
    <w:p w14:paraId="5A10ED1C" w14:textId="77777777" w:rsidR="00065ED5" w:rsidRDefault="00065ED5" w:rsidP="0021103F">
      <w:pPr>
        <w:jc w:val="both"/>
      </w:pPr>
    </w:p>
    <w:p w14:paraId="56652024" w14:textId="77777777" w:rsidR="0021103F" w:rsidRDefault="0021103F" w:rsidP="0021103F">
      <w:pPr>
        <w:jc w:val="both"/>
      </w:pPr>
    </w:p>
    <w:sectPr w:rsidR="0021103F">
      <w:pgSz w:w="11906" w:h="16838"/>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
    <w:altName w:val="Arial"/>
    <w:panose1 w:val="020B060402020203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FFFFFFFF"/>
    <w:lvl w:ilvl="0">
      <w:start w:val="1"/>
      <w:numFmt w:val="decimal"/>
      <w:pStyle w:val="Titre1"/>
      <w:lvlText w:val="%1."/>
      <w:legacy w:legacy="1" w:legacySpace="0" w:legacyIndent="709"/>
      <w:lvlJc w:val="left"/>
      <w:pPr>
        <w:ind w:left="709" w:hanging="709"/>
      </w:pPr>
    </w:lvl>
    <w:lvl w:ilvl="1">
      <w:start w:val="1"/>
      <w:numFmt w:val="decimal"/>
      <w:pStyle w:val="Titre2"/>
      <w:lvlText w:val="%1.%2"/>
      <w:legacy w:legacy="1" w:legacySpace="0" w:legacyIndent="709"/>
      <w:lvlJc w:val="left"/>
      <w:pPr>
        <w:ind w:left="709" w:hanging="709"/>
      </w:pPr>
    </w:lvl>
    <w:lvl w:ilvl="2">
      <w:start w:val="1"/>
      <w:numFmt w:val="decimal"/>
      <w:pStyle w:val="Titre3"/>
      <w:lvlText w:val="%1.%2.%3"/>
      <w:legacy w:legacy="1" w:legacySpace="0" w:legacyIndent="709"/>
      <w:lvlJc w:val="left"/>
      <w:pPr>
        <w:ind w:left="709" w:hanging="709"/>
      </w:pPr>
    </w:lvl>
    <w:lvl w:ilvl="3">
      <w:start w:val="1"/>
      <w:numFmt w:val="decimal"/>
      <w:pStyle w:val="Titre4"/>
      <w:lvlText w:val="%1.%2.%3.%4"/>
      <w:legacy w:legacy="1" w:legacySpace="0" w:legacyIndent="709"/>
      <w:lvlJc w:val="left"/>
      <w:pPr>
        <w:ind w:left="709" w:hanging="709"/>
      </w:pPr>
    </w:lvl>
    <w:lvl w:ilvl="4">
      <w:start w:val="1"/>
      <w:numFmt w:val="decimal"/>
      <w:pStyle w:val="Titre5"/>
      <w:lvlText w:val="%1.%2.%3.%4.%5"/>
      <w:legacy w:legacy="1" w:legacySpace="144" w:legacyIndent="0"/>
      <w:lvlJc w:val="left"/>
    </w:lvl>
    <w:lvl w:ilvl="5">
      <w:start w:val="1"/>
      <w:numFmt w:val="decimal"/>
      <w:pStyle w:val="Titre6"/>
      <w:lvlText w:val="%1.%2.%3.%4.%5.%6"/>
      <w:legacy w:legacy="1" w:legacySpace="144" w:legacyIndent="0"/>
      <w:lvlJc w:val="left"/>
    </w:lvl>
    <w:lvl w:ilvl="6">
      <w:start w:val="1"/>
      <w:numFmt w:val="decimal"/>
      <w:pStyle w:val="Titre7"/>
      <w:lvlText w:val="%1.%2.%3.%4.%5.%6.%7"/>
      <w:legacy w:legacy="1" w:legacySpace="144" w:legacyIndent="0"/>
      <w:lvlJc w:val="left"/>
    </w:lvl>
    <w:lvl w:ilvl="7">
      <w:start w:val="1"/>
      <w:numFmt w:val="decimal"/>
      <w:pStyle w:val="Titre8"/>
      <w:lvlText w:val="%1.%2.%3.%4.%5.%6.%7.%8"/>
      <w:legacy w:legacy="1" w:legacySpace="144" w:legacyIndent="0"/>
      <w:lvlJc w:val="left"/>
    </w:lvl>
    <w:lvl w:ilvl="8">
      <w:start w:val="1"/>
      <w:numFmt w:val="decimal"/>
      <w:pStyle w:val="Titre9"/>
      <w:lvlText w:val="%1.%2.%3.%4.%5.%6.%7.%8.%9"/>
      <w:legacy w:legacy="1" w:legacySpace="144" w:legacyIndent="0"/>
      <w:lvlJc w:val="left"/>
    </w:lvl>
  </w:abstractNum>
  <w:abstractNum w:abstractNumId="1" w15:restartNumberingAfterBreak="0">
    <w:nsid w:val="06854CE6"/>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 w15:restartNumberingAfterBreak="0">
    <w:nsid w:val="11E37537"/>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3" w15:restartNumberingAfterBreak="0">
    <w:nsid w:val="29AC64B8"/>
    <w:multiLevelType w:val="singleLevel"/>
    <w:tmpl w:val="2E168BE6"/>
    <w:lvl w:ilvl="0">
      <w:start w:val="1"/>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30AE3C5E"/>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5" w15:restartNumberingAfterBreak="0">
    <w:nsid w:val="3A46611E"/>
    <w:multiLevelType w:val="singleLevel"/>
    <w:tmpl w:val="040C0011"/>
    <w:lvl w:ilvl="0">
      <w:start w:val="1"/>
      <w:numFmt w:val="decimal"/>
      <w:lvlText w:val="%1)"/>
      <w:lvlJc w:val="left"/>
      <w:pPr>
        <w:tabs>
          <w:tab w:val="num" w:pos="360"/>
        </w:tabs>
        <w:ind w:left="360" w:hanging="360"/>
      </w:pPr>
      <w:rPr>
        <w:rFonts w:hint="default"/>
      </w:rPr>
    </w:lvl>
  </w:abstractNum>
  <w:abstractNum w:abstractNumId="6" w15:restartNumberingAfterBreak="0">
    <w:nsid w:val="4A4A4079"/>
    <w:multiLevelType w:val="singleLevel"/>
    <w:tmpl w:val="30300ED2"/>
    <w:lvl w:ilvl="0">
      <w:start w:val="7"/>
      <w:numFmt w:val="bullet"/>
      <w:lvlText w:val="-"/>
      <w:lvlJc w:val="left"/>
      <w:pPr>
        <w:tabs>
          <w:tab w:val="num" w:pos="360"/>
        </w:tabs>
        <w:ind w:left="360" w:hanging="360"/>
      </w:pPr>
      <w:rPr>
        <w:rFonts w:hint="default"/>
        <w:b w:val="0"/>
      </w:rPr>
    </w:lvl>
  </w:abstractNum>
  <w:abstractNum w:abstractNumId="7" w15:restartNumberingAfterBreak="0">
    <w:nsid w:val="607B1E3A"/>
    <w:multiLevelType w:val="hybridMultilevel"/>
    <w:tmpl w:val="5E380B6E"/>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15460AB"/>
    <w:multiLevelType w:val="hybridMultilevel"/>
    <w:tmpl w:val="8E446BB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CC3081C"/>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9"/>
  </w:num>
  <w:num w:numId="3">
    <w:abstractNumId w:val="4"/>
  </w:num>
  <w:num w:numId="4">
    <w:abstractNumId w:val="2"/>
  </w:num>
  <w:num w:numId="5">
    <w:abstractNumId w:val="1"/>
  </w:num>
  <w:num w:numId="6">
    <w:abstractNumId w:val="3"/>
  </w:num>
  <w:num w:numId="7">
    <w:abstractNumId w:val="5"/>
  </w:num>
  <w:num w:numId="8">
    <w:abstractNumId w:val="6"/>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103F"/>
    <w:rsid w:val="00065ED5"/>
    <w:rsid w:val="00075B03"/>
    <w:rsid w:val="000A15FD"/>
    <w:rsid w:val="001120F6"/>
    <w:rsid w:val="001B006B"/>
    <w:rsid w:val="001C5BB1"/>
    <w:rsid w:val="0021103F"/>
    <w:rsid w:val="00231B94"/>
    <w:rsid w:val="002536C4"/>
    <w:rsid w:val="002757F4"/>
    <w:rsid w:val="002B04D6"/>
    <w:rsid w:val="00306651"/>
    <w:rsid w:val="005614C2"/>
    <w:rsid w:val="005C40B3"/>
    <w:rsid w:val="00631286"/>
    <w:rsid w:val="006B6AE4"/>
    <w:rsid w:val="00724CEC"/>
    <w:rsid w:val="007274D0"/>
    <w:rsid w:val="007B4CB9"/>
    <w:rsid w:val="00930B8E"/>
    <w:rsid w:val="00946DCC"/>
    <w:rsid w:val="009478EA"/>
    <w:rsid w:val="00957BF0"/>
    <w:rsid w:val="00AC1DD7"/>
    <w:rsid w:val="00AF2A76"/>
    <w:rsid w:val="00B851F6"/>
    <w:rsid w:val="00C65652"/>
    <w:rsid w:val="00CA2115"/>
    <w:rsid w:val="00D1350F"/>
    <w:rsid w:val="00DA3292"/>
    <w:rsid w:val="00E10C69"/>
    <w:rsid w:val="00E848C6"/>
    <w:rsid w:val="00F22B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1AEC18"/>
  <w15:chartTrackingRefBased/>
  <w15:docId w15:val="{0C433619-25C2-406D-90CD-058021CF8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1103F"/>
  </w:style>
  <w:style w:type="paragraph" w:styleId="Titre1">
    <w:name w:val="heading 1"/>
    <w:basedOn w:val="Normal"/>
    <w:next w:val="Normal"/>
    <w:qFormat/>
    <w:pPr>
      <w:numPr>
        <w:numId w:val="1"/>
      </w:numPr>
      <w:spacing w:before="360" w:after="120"/>
      <w:outlineLvl w:val="0"/>
    </w:pPr>
    <w:rPr>
      <w:b/>
      <w:caps/>
      <w:sz w:val="28"/>
    </w:rPr>
  </w:style>
  <w:style w:type="paragraph" w:styleId="Titre2">
    <w:name w:val="heading 2"/>
    <w:basedOn w:val="Normal"/>
    <w:next w:val="Normal"/>
    <w:qFormat/>
    <w:pPr>
      <w:numPr>
        <w:ilvl w:val="1"/>
        <w:numId w:val="1"/>
      </w:numPr>
      <w:spacing w:before="240" w:after="120"/>
      <w:jc w:val="both"/>
      <w:outlineLvl w:val="1"/>
    </w:pPr>
    <w:rPr>
      <w:b/>
      <w:caps/>
      <w:sz w:val="24"/>
    </w:rPr>
  </w:style>
  <w:style w:type="paragraph" w:styleId="Titre3">
    <w:name w:val="heading 3"/>
    <w:basedOn w:val="Normal"/>
    <w:next w:val="Normal"/>
    <w:qFormat/>
    <w:pPr>
      <w:numPr>
        <w:ilvl w:val="2"/>
        <w:numId w:val="1"/>
      </w:numPr>
      <w:spacing w:before="180" w:after="120"/>
      <w:jc w:val="both"/>
      <w:outlineLvl w:val="2"/>
    </w:pPr>
    <w:rPr>
      <w:b/>
      <w:sz w:val="24"/>
    </w:rPr>
  </w:style>
  <w:style w:type="paragraph" w:styleId="Titre4">
    <w:name w:val="heading 4"/>
    <w:basedOn w:val="Normal"/>
    <w:next w:val="Normal"/>
    <w:qFormat/>
    <w:pPr>
      <w:numPr>
        <w:ilvl w:val="3"/>
        <w:numId w:val="1"/>
      </w:numPr>
      <w:spacing w:before="120" w:after="120"/>
      <w:jc w:val="both"/>
      <w:outlineLvl w:val="3"/>
    </w:pPr>
    <w:rPr>
      <w:b/>
      <w:i/>
      <w:sz w:val="22"/>
    </w:rPr>
  </w:style>
  <w:style w:type="paragraph" w:styleId="Titre5">
    <w:name w:val="heading 5"/>
    <w:basedOn w:val="Normal"/>
    <w:next w:val="Normal"/>
    <w:qFormat/>
    <w:pPr>
      <w:numPr>
        <w:ilvl w:val="4"/>
        <w:numId w:val="1"/>
      </w:numPr>
      <w:spacing w:before="240" w:after="60"/>
      <w:ind w:left="709" w:hanging="709"/>
      <w:outlineLvl w:val="4"/>
    </w:pPr>
    <w:rPr>
      <w:sz w:val="22"/>
    </w:rPr>
  </w:style>
  <w:style w:type="paragraph" w:styleId="Titre6">
    <w:name w:val="heading 6"/>
    <w:basedOn w:val="Normal"/>
    <w:next w:val="Normal"/>
    <w:qFormat/>
    <w:pPr>
      <w:numPr>
        <w:ilvl w:val="5"/>
        <w:numId w:val="1"/>
      </w:numPr>
      <w:spacing w:before="240" w:after="60"/>
      <w:ind w:left="709" w:hanging="709"/>
      <w:outlineLvl w:val="5"/>
    </w:pPr>
    <w:rPr>
      <w:i/>
      <w:sz w:val="22"/>
    </w:rPr>
  </w:style>
  <w:style w:type="paragraph" w:styleId="Titre7">
    <w:name w:val="heading 7"/>
    <w:basedOn w:val="Normal"/>
    <w:next w:val="Normal"/>
    <w:qFormat/>
    <w:pPr>
      <w:numPr>
        <w:ilvl w:val="6"/>
        <w:numId w:val="1"/>
      </w:numPr>
      <w:spacing w:before="240" w:after="60"/>
      <w:ind w:left="709" w:hanging="709"/>
      <w:outlineLvl w:val="6"/>
    </w:pPr>
  </w:style>
  <w:style w:type="paragraph" w:styleId="Titre8">
    <w:name w:val="heading 8"/>
    <w:basedOn w:val="Normal"/>
    <w:next w:val="Normal"/>
    <w:qFormat/>
    <w:pPr>
      <w:numPr>
        <w:ilvl w:val="7"/>
        <w:numId w:val="1"/>
      </w:numPr>
      <w:spacing w:before="240" w:after="60"/>
      <w:ind w:left="709" w:hanging="709"/>
      <w:outlineLvl w:val="7"/>
    </w:pPr>
    <w:rPr>
      <w:i/>
    </w:rPr>
  </w:style>
  <w:style w:type="paragraph" w:styleId="Titre9">
    <w:name w:val="heading 9"/>
    <w:basedOn w:val="Normal"/>
    <w:next w:val="Normal"/>
    <w:qFormat/>
    <w:pPr>
      <w:numPr>
        <w:ilvl w:val="8"/>
        <w:numId w:val="1"/>
      </w:numPr>
      <w:spacing w:before="240" w:after="60"/>
      <w:ind w:left="709" w:hanging="709"/>
      <w:outlineLvl w:val="8"/>
    </w:pPr>
    <w:rPr>
      <w:i/>
      <w:sz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right" w:pos="8980"/>
      </w:tabs>
    </w:pPr>
    <w:rPr>
      <w:rFonts w:ascii="Book Antiqua" w:hAnsi="Book Antiqua"/>
      <w:i/>
      <w:noProof/>
      <w:sz w:val="18"/>
    </w:rPr>
  </w:style>
  <w:style w:type="paragraph" w:customStyle="1" w:styleId="L1">
    <w:name w:val="L1"/>
    <w:basedOn w:val="Normal"/>
    <w:pPr>
      <w:tabs>
        <w:tab w:val="left" w:pos="1400"/>
        <w:tab w:val="left" w:pos="5660"/>
        <w:tab w:val="right" w:pos="8980"/>
      </w:tabs>
      <w:ind w:left="568" w:hanging="284"/>
      <w:jc w:val="both"/>
    </w:pPr>
    <w:rPr>
      <w:rFonts w:ascii="Book Antiqua" w:hAnsi="Book Antiqua"/>
    </w:rPr>
  </w:style>
  <w:style w:type="paragraph" w:customStyle="1" w:styleId="L2">
    <w:name w:val="L2"/>
    <w:basedOn w:val="Normal"/>
    <w:pPr>
      <w:tabs>
        <w:tab w:val="left" w:pos="1400"/>
        <w:tab w:val="left" w:pos="5660"/>
        <w:tab w:val="right" w:pos="8980"/>
      </w:tabs>
      <w:ind w:left="1135" w:hanging="284"/>
      <w:jc w:val="both"/>
    </w:pPr>
    <w:rPr>
      <w:rFonts w:ascii="Book Antiqua" w:hAnsi="Book Antiqua"/>
    </w:rPr>
  </w:style>
  <w:style w:type="paragraph" w:customStyle="1" w:styleId="L3">
    <w:name w:val="L3"/>
    <w:basedOn w:val="Normal"/>
    <w:pPr>
      <w:tabs>
        <w:tab w:val="left" w:pos="5660"/>
        <w:tab w:val="right" w:pos="8980"/>
      </w:tabs>
      <w:ind w:left="1702" w:hanging="284"/>
      <w:jc w:val="both"/>
    </w:pPr>
    <w:rPr>
      <w:rFonts w:ascii="Book Antiqua" w:hAnsi="Book Antiqua"/>
    </w:rPr>
  </w:style>
  <w:style w:type="paragraph" w:customStyle="1" w:styleId="L4">
    <w:name w:val="L4"/>
    <w:basedOn w:val="Normal"/>
    <w:pPr>
      <w:tabs>
        <w:tab w:val="left" w:pos="5660"/>
        <w:tab w:val="right" w:pos="8980"/>
      </w:tabs>
      <w:ind w:left="2269" w:hanging="284"/>
      <w:jc w:val="both"/>
    </w:pPr>
    <w:rPr>
      <w:rFonts w:ascii="Book Antiqua" w:hAnsi="Book Antiqua"/>
    </w:rPr>
  </w:style>
  <w:style w:type="paragraph" w:styleId="Notedebasdepage">
    <w:name w:val="footnote text"/>
    <w:basedOn w:val="Normal"/>
    <w:semiHidden/>
    <w:pPr>
      <w:tabs>
        <w:tab w:val="left" w:pos="1400"/>
        <w:tab w:val="left" w:pos="5660"/>
        <w:tab w:val="right" w:pos="8980"/>
      </w:tabs>
      <w:ind w:left="560" w:hanging="560"/>
      <w:jc w:val="both"/>
    </w:pPr>
    <w:rPr>
      <w:sz w:val="18"/>
    </w:rPr>
  </w:style>
  <w:style w:type="character" w:styleId="Numrodepage">
    <w:name w:val="page number"/>
    <w:basedOn w:val="Policepardfaut"/>
  </w:style>
  <w:style w:type="paragraph" w:styleId="Pieddepage">
    <w:name w:val="footer"/>
    <w:basedOn w:val="Normal"/>
    <w:next w:val="Normal"/>
    <w:pPr>
      <w:tabs>
        <w:tab w:val="right" w:pos="9000"/>
      </w:tabs>
      <w:jc w:val="both"/>
    </w:pPr>
    <w:rPr>
      <w:i/>
      <w:sz w:val="16"/>
    </w:rPr>
  </w:style>
  <w:style w:type="paragraph" w:customStyle="1" w:styleId="R1">
    <w:name w:val="R1"/>
    <w:basedOn w:val="Normal"/>
    <w:pPr>
      <w:tabs>
        <w:tab w:val="left" w:pos="1400"/>
        <w:tab w:val="left" w:pos="5660"/>
        <w:tab w:val="right" w:pos="8980"/>
      </w:tabs>
      <w:ind w:left="567"/>
      <w:jc w:val="both"/>
    </w:pPr>
  </w:style>
  <w:style w:type="paragraph" w:customStyle="1" w:styleId="R2">
    <w:name w:val="R2"/>
    <w:basedOn w:val="Normal"/>
    <w:pPr>
      <w:tabs>
        <w:tab w:val="left" w:pos="1400"/>
        <w:tab w:val="left" w:pos="5660"/>
        <w:tab w:val="right" w:pos="8980"/>
      </w:tabs>
      <w:ind w:left="1134"/>
      <w:jc w:val="both"/>
    </w:pPr>
  </w:style>
  <w:style w:type="paragraph" w:customStyle="1" w:styleId="R3">
    <w:name w:val="R3"/>
    <w:basedOn w:val="Normal"/>
    <w:pPr>
      <w:tabs>
        <w:tab w:val="left" w:pos="5660"/>
        <w:tab w:val="right" w:pos="8980"/>
      </w:tabs>
      <w:ind w:left="1701"/>
      <w:jc w:val="both"/>
    </w:pPr>
  </w:style>
  <w:style w:type="paragraph" w:customStyle="1" w:styleId="R4">
    <w:name w:val="R4"/>
    <w:basedOn w:val="Normal"/>
    <w:pPr>
      <w:tabs>
        <w:tab w:val="left" w:pos="5660"/>
        <w:tab w:val="right" w:pos="8980"/>
      </w:tabs>
      <w:ind w:left="2268"/>
      <w:jc w:val="both"/>
    </w:pPr>
  </w:style>
  <w:style w:type="paragraph" w:styleId="TM1">
    <w:name w:val="toc 1"/>
    <w:basedOn w:val="Normal"/>
    <w:next w:val="Normal"/>
    <w:semiHidden/>
    <w:pPr>
      <w:tabs>
        <w:tab w:val="right" w:leader="dot" w:pos="9072"/>
      </w:tabs>
      <w:spacing w:before="120" w:after="120"/>
    </w:pPr>
    <w:rPr>
      <w:b/>
      <w:caps/>
    </w:rPr>
  </w:style>
  <w:style w:type="paragraph" w:styleId="TM2">
    <w:name w:val="toc 2"/>
    <w:basedOn w:val="Normal"/>
    <w:next w:val="Normal"/>
    <w:semiHidden/>
    <w:pPr>
      <w:tabs>
        <w:tab w:val="right" w:leader="dot" w:pos="9072"/>
      </w:tabs>
    </w:pPr>
    <w:rPr>
      <w:smallCaps/>
    </w:rPr>
  </w:style>
  <w:style w:type="paragraph" w:styleId="TM3">
    <w:name w:val="toc 3"/>
    <w:basedOn w:val="Normal"/>
    <w:next w:val="Normal"/>
    <w:semiHidden/>
    <w:pPr>
      <w:tabs>
        <w:tab w:val="right" w:leader="dot" w:pos="9072"/>
      </w:tabs>
      <w:ind w:left="200"/>
    </w:pPr>
    <w:rPr>
      <w:i/>
    </w:rPr>
  </w:style>
  <w:style w:type="paragraph" w:styleId="TM4">
    <w:name w:val="toc 4"/>
    <w:basedOn w:val="Normal"/>
    <w:next w:val="Normal"/>
    <w:semiHidden/>
    <w:pPr>
      <w:tabs>
        <w:tab w:val="right" w:leader="dot" w:pos="9072"/>
      </w:tabs>
      <w:ind w:left="400"/>
    </w:pPr>
    <w:rPr>
      <w:sz w:val="18"/>
    </w:rPr>
  </w:style>
  <w:style w:type="paragraph" w:styleId="TM5">
    <w:name w:val="toc 5"/>
    <w:basedOn w:val="Normal"/>
    <w:next w:val="Normal"/>
    <w:semiHidden/>
    <w:pPr>
      <w:tabs>
        <w:tab w:val="right" w:leader="dot" w:pos="9072"/>
      </w:tabs>
      <w:ind w:left="600"/>
    </w:pPr>
    <w:rPr>
      <w:sz w:val="18"/>
    </w:rPr>
  </w:style>
  <w:style w:type="paragraph" w:styleId="TM6">
    <w:name w:val="toc 6"/>
    <w:basedOn w:val="Normal"/>
    <w:next w:val="Normal"/>
    <w:semiHidden/>
    <w:pPr>
      <w:tabs>
        <w:tab w:val="right" w:leader="dot" w:pos="9072"/>
      </w:tabs>
      <w:ind w:left="800"/>
    </w:pPr>
    <w:rPr>
      <w:sz w:val="18"/>
    </w:rPr>
  </w:style>
  <w:style w:type="paragraph" w:styleId="TM7">
    <w:name w:val="toc 7"/>
    <w:basedOn w:val="Normal"/>
    <w:next w:val="Normal"/>
    <w:semiHidden/>
    <w:pPr>
      <w:tabs>
        <w:tab w:val="right" w:leader="dot" w:pos="9072"/>
      </w:tabs>
      <w:ind w:left="1000"/>
    </w:pPr>
    <w:rPr>
      <w:sz w:val="18"/>
    </w:rPr>
  </w:style>
  <w:style w:type="paragraph" w:styleId="TM8">
    <w:name w:val="toc 8"/>
    <w:basedOn w:val="Normal"/>
    <w:next w:val="Normal"/>
    <w:semiHidden/>
    <w:pPr>
      <w:tabs>
        <w:tab w:val="right" w:leader="dot" w:pos="9072"/>
      </w:tabs>
      <w:ind w:left="1200"/>
    </w:pPr>
    <w:rPr>
      <w:sz w:val="18"/>
    </w:rPr>
  </w:style>
  <w:style w:type="paragraph" w:styleId="TM9">
    <w:name w:val="toc 9"/>
    <w:basedOn w:val="Normal"/>
    <w:next w:val="Normal"/>
    <w:semiHidden/>
    <w:pPr>
      <w:tabs>
        <w:tab w:val="right" w:leader="dot" w:pos="9072"/>
      </w:tabs>
      <w:ind w:left="1400"/>
    </w:pPr>
    <w:rPr>
      <w:sz w:val="18"/>
    </w:rPr>
  </w:style>
  <w:style w:type="paragraph" w:customStyle="1" w:styleId="PARAGA0">
    <w:name w:val="PARAG. A 0"/>
    <w:basedOn w:val="Normal"/>
    <w:rsid w:val="0021103F"/>
    <w:pPr>
      <w:spacing w:line="360" w:lineRule="atLeast"/>
      <w:jc w:val="both"/>
    </w:pPr>
    <w:rPr>
      <w:rFonts w:ascii="Helvetica" w:hAnsi="Helvetica"/>
    </w:rPr>
  </w:style>
  <w:style w:type="paragraph" w:styleId="Textedebulles">
    <w:name w:val="Balloon Text"/>
    <w:basedOn w:val="Normal"/>
    <w:semiHidden/>
    <w:rsid w:val="00DA3292"/>
    <w:rPr>
      <w:rFonts w:ascii="Tahoma" w:hAnsi="Tahoma" w:cs="Tahoma"/>
      <w:sz w:val="16"/>
      <w:szCs w:val="16"/>
    </w:rPr>
  </w:style>
  <w:style w:type="character" w:styleId="Marquedecommentaire">
    <w:name w:val="annotation reference"/>
    <w:basedOn w:val="Policepardfaut"/>
    <w:rsid w:val="005614C2"/>
    <w:rPr>
      <w:sz w:val="16"/>
      <w:szCs w:val="16"/>
    </w:rPr>
  </w:style>
  <w:style w:type="paragraph" w:styleId="Commentaire">
    <w:name w:val="annotation text"/>
    <w:basedOn w:val="Normal"/>
    <w:link w:val="CommentaireCar"/>
    <w:rsid w:val="005614C2"/>
  </w:style>
  <w:style w:type="character" w:customStyle="1" w:styleId="CommentaireCar">
    <w:name w:val="Commentaire Car"/>
    <w:basedOn w:val="Policepardfaut"/>
    <w:link w:val="Commentaire"/>
    <w:rsid w:val="005614C2"/>
  </w:style>
  <w:style w:type="paragraph" w:styleId="Objetducommentaire">
    <w:name w:val="annotation subject"/>
    <w:basedOn w:val="Commentaire"/>
    <w:next w:val="Commentaire"/>
    <w:link w:val="ObjetducommentaireCar"/>
    <w:rsid w:val="005614C2"/>
    <w:rPr>
      <w:b/>
      <w:bCs/>
    </w:rPr>
  </w:style>
  <w:style w:type="character" w:customStyle="1" w:styleId="ObjetducommentaireCar">
    <w:name w:val="Objet du commentaire Car"/>
    <w:basedOn w:val="CommentaireCar"/>
    <w:link w:val="Objetducommentaire"/>
    <w:rsid w:val="005614C2"/>
    <w:rPr>
      <w:b/>
      <w:bCs/>
    </w:rPr>
  </w:style>
  <w:style w:type="paragraph" w:styleId="Paragraphedeliste">
    <w:name w:val="List Paragraph"/>
    <w:basedOn w:val="Normal"/>
    <w:uiPriority w:val="34"/>
    <w:qFormat/>
    <w:rsid w:val="009478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484</Words>
  <Characters>2838</Characters>
  <Application>Microsoft Office Word</Application>
  <DocSecurity>0</DocSecurity>
  <Lines>23</Lines>
  <Paragraphs>6</Paragraphs>
  <ScaleCrop>false</ScaleCrop>
  <HeadingPairs>
    <vt:vector size="2" baseType="variant">
      <vt:variant>
        <vt:lpstr>Titre</vt:lpstr>
      </vt:variant>
      <vt:variant>
        <vt:i4>1</vt:i4>
      </vt:variant>
    </vt:vector>
  </HeadingPairs>
  <TitlesOfParts>
    <vt:vector size="1" baseType="lpstr">
      <vt:lpstr>OFFRE TECHNIQUE</vt:lpstr>
    </vt:vector>
  </TitlesOfParts>
  <Company>Bibliothèque  nationale de France</Company>
  <LinksUpToDate>false</LinksUpToDate>
  <CharactersWithSpaces>3316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OFFRE TECHNIQUE</dc:title>
  <dc:subject/>
  <dc:creator>DINT257</dc:creator>
  <cp:keywords/>
  <cp:lastModifiedBy>Jérémy MARTINS</cp:lastModifiedBy>
  <cp:revision>6</cp:revision>
  <cp:lastPrinted>2010-03-02T09:36:00Z</cp:lastPrinted>
  <dcterms:created xsi:type="dcterms:W3CDTF">2026-02-19T08:23:00Z</dcterms:created>
  <dcterms:modified xsi:type="dcterms:W3CDTF">2026-04-01T08:08:00Z</dcterms:modified>
</cp:coreProperties>
</file>